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hint="eastAsia" w:hAnsi="黑体" w:eastAsia="黑体"/>
          <w:sz w:val="28"/>
          <w:szCs w:val="28"/>
        </w:rPr>
        <w:t>教育部</w:t>
      </w:r>
      <w:r>
        <w:rPr>
          <w:rFonts w:hAnsi="黑体" w:eastAsia="黑体"/>
          <w:sz w:val="28"/>
          <w:szCs w:val="28"/>
        </w:rPr>
        <w:t>直属高校固定资产最低使用年限表</w:t>
      </w:r>
    </w:p>
    <w:tbl>
      <w:tblPr>
        <w:tblStyle w:val="3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594"/>
        <w:gridCol w:w="2567"/>
        <w:gridCol w:w="2342"/>
      </w:tblGrid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固定资产类别</w:t>
            </w:r>
          </w:p>
        </w:tc>
        <w:tc>
          <w:tcPr>
            <w:tcW w:w="4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最低使用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年限</w:t>
            </w: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房屋及构筑物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业务及管理用房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钢结构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钢筋混凝土结构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砖混结构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砖木结构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简易房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房屋附属设施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构筑物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计算机设备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办公设备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车辆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图书档案设备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机械设备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电气设备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雷达、无线电和卫星导航设备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通信设备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广播、电视、电影设备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仪器仪表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电子和通信测量设备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计量标准器具及量具、衡器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专用设备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探矿、采矿、选矿和造块设备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石油天然气开采专用设备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石油和化学工业专用设备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炼焦和金属冶炼轧制设备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电力工业专用设备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非金属矿物制品工业专用设备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核工业专用设备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航空航天工业专用设备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工程机械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农业和林业机械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木材采集和加工设备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食品加工专用设备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饮料加工设备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烟草加工设备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粮油作物和饲料加工设备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纺织设备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缝纫、服饰、制革和毛皮加工设备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造纸和印刷机械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化学药品和中药专用设备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医疗设备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电工、电子专用生产设备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安全生产设备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邮政专用设备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环境污染防治设备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公安专用设备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水工机械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殡葬设备及用品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铁路运输设备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水上交通运输设备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航空器及其配套设备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专用仪器仪表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文艺设备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体育设备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娱乐设备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家具、用具及装具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家具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>
        <w:tblPrEx>
          <w:tblLayout w:type="fixed"/>
        </w:tblPrEx>
        <w:trPr>
          <w:cantSplit/>
          <w:trHeight w:val="448" w:hRule="exact"/>
        </w:trPr>
        <w:tc>
          <w:tcPr>
            <w:tcW w:w="2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用具、装具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98"/>
    <w:rsid w:val="007F3ABA"/>
    <w:rsid w:val="00BD4798"/>
    <w:rsid w:val="7CA79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2018-02-05T17:01:00Z</dcterms:created>
  <dc:creator>刘潇翰</dc:creator>
  <cp:lastModifiedBy>zhangzhaopu</cp:lastModifiedBy>
  <dcterms:modified xsi:type="dcterms:W3CDTF">2020-04-23T11:04:06Z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